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99CC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7" w:rightFromText="187" w:topFromText="0" w:bottomFromText="0" w:vertAnchor="page" w:horzAnchor="margin" w:tblpX="0" w:tblpY="1096"/>
        <w:tblW w:w="10325.0" w:type="dxa"/>
        <w:jc w:val="left"/>
        <w:tblInd w:w="-115.0" w:type="dxa"/>
        <w:tblBorders>
          <w:top w:color="d2da7a" w:space="0" w:sz="36" w:val="single"/>
          <w:bottom w:color="d2da7a" w:space="0" w:sz="36" w:val="single"/>
          <w:insideH w:color="d2da7a" w:space="0" w:sz="36" w:val="single"/>
        </w:tblBorders>
        <w:tblLayout w:type="fixed"/>
        <w:tblLook w:val="0400"/>
      </w:tblPr>
      <w:tblGrid>
        <w:gridCol w:w="10325"/>
        <w:tblGridChange w:id="0">
          <w:tblGrid>
            <w:gridCol w:w="10325"/>
          </w:tblGrid>
        </w:tblGridChange>
      </w:tblGrid>
      <w:tr>
        <w:trPr>
          <w:cantSplit w:val="0"/>
          <w:trHeight w:val="210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bookmarkStart w:colFirst="0" w:colLast="0" w:name="_i2iukp898pd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44867" cy="795192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867" cy="795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ПУТІВНИК                                ДЛЯ БАТЬКІВ                          ЩОДО ПОСЛУГ ІНКЛЮЗИВНО-РЕСУРСНОГО ЦЕНТРУ (ІРЦ)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173893" cy="3030494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893" cy="30304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color w:val="ffffff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Перший крок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-126999</wp:posOffset>
                </wp:positionV>
                <wp:extent cx="478155" cy="447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1210" y="3570450"/>
                          <a:ext cx="449580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cap="flat" cmpd="sng" w="2857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-126999</wp:posOffset>
                </wp:positionV>
                <wp:extent cx="478155" cy="447675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ind w:left="284" w:firstLine="0"/>
        <w:rPr>
          <w:rFonts w:ascii="ProbaPro" w:cs="ProbaPro" w:eastAsia="ProbaPro" w:hAnsi="ProbaPro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Батьки/законні представники дитини подають письмову заяву до обраного ІРЦ </w:t>
      </w:r>
      <w:r w:rsidDel="00000000" w:rsidR="00000000" w:rsidRPr="00000000">
        <w:rPr>
          <w:rFonts w:ascii="ProbaPro" w:cs="ProbaPro" w:eastAsia="ProbaPro" w:hAnsi="ProbaPro"/>
          <w:color w:val="000000"/>
          <w:sz w:val="28"/>
          <w:szCs w:val="28"/>
          <w:rtl w:val="0"/>
        </w:rPr>
        <w:t xml:space="preserve">або реєструються на порталі АС «ІРЦ»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ProbaPro" w:cs="ProbaPro" w:eastAsia="ProbaPro" w:hAnsi="ProbaPro"/>
          <w:color w:val="000000"/>
          <w:sz w:val="28"/>
          <w:szCs w:val="28"/>
          <w:rtl w:val="0"/>
        </w:rPr>
        <w:t xml:space="preserve">за посиланням </w:t>
      </w:r>
      <w:hyperlink r:id="rId9">
        <w:r w:rsidDel="00000000" w:rsidR="00000000" w:rsidRPr="00000000">
          <w:rPr>
            <w:rFonts w:ascii="ProbaPro" w:cs="ProbaPro" w:eastAsia="ProbaPro" w:hAnsi="ProbaPro"/>
            <w:color w:val="0070c0"/>
            <w:sz w:val="28"/>
            <w:szCs w:val="28"/>
            <w:u w:val="single"/>
            <w:rtl w:val="0"/>
          </w:rPr>
          <w:t xml:space="preserve">https://ircenter.gov.ua/</w:t>
        </w:r>
      </w:hyperlink>
      <w:r w:rsidDel="00000000" w:rsidR="00000000" w:rsidRPr="00000000">
        <w:rPr>
          <w:rFonts w:ascii="ProbaPro" w:cs="ProbaPro" w:eastAsia="ProbaPro" w:hAnsi="ProbaPro"/>
          <w:color w:val="0070c0"/>
          <w:sz w:val="28"/>
          <w:szCs w:val="28"/>
          <w:rtl w:val="0"/>
        </w:rPr>
        <w:t xml:space="preserve">  чи  через  застосунок «Україна. Інклюзія»</w:t>
      </w:r>
    </w:p>
    <w:p w:rsidR="00000000" w:rsidDel="00000000" w:rsidP="00000000" w:rsidRDefault="00000000" w:rsidRPr="00000000" w14:paraId="00000008">
      <w:pPr>
        <w:spacing w:after="0" w:line="240" w:lineRule="auto"/>
        <w:ind w:left="284" w:firstLine="0"/>
        <w:rPr>
          <w:rFonts w:ascii="Times New Roman" w:cs="Times New Roman" w:eastAsia="Times New Roman" w:hAnsi="Times New Roman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84" w:hanging="11.000000000000014"/>
        <w:jc w:val="both"/>
        <w:rPr>
          <w:rFonts w:ascii="ProbaPro" w:cs="ProbaPro" w:eastAsia="ProbaPro" w:hAnsi="ProbaPro"/>
          <w:i w:val="1"/>
          <w:color w:val="000000"/>
          <w:sz w:val="26"/>
          <w:szCs w:val="26"/>
        </w:rPr>
      </w:pPr>
      <w:r w:rsidDel="00000000" w:rsidR="00000000" w:rsidRPr="00000000">
        <w:rPr>
          <w:rFonts w:ascii="ProbaPro" w:cs="ProbaPro" w:eastAsia="ProbaPro" w:hAnsi="ProbaPro"/>
          <w:i w:val="1"/>
          <w:color w:val="000000"/>
          <w:sz w:val="26"/>
          <w:szCs w:val="26"/>
          <w:rtl w:val="0"/>
        </w:rPr>
        <w:t xml:space="preserve">За допомогою порталу ви можете:</w:t>
      </w:r>
    </w:p>
    <w:p w:rsidR="00000000" w:rsidDel="00000000" w:rsidP="00000000" w:rsidRDefault="00000000" w:rsidRPr="00000000" w14:paraId="0000000A">
      <w:pPr>
        <w:spacing w:after="0" w:line="240" w:lineRule="auto"/>
        <w:ind w:left="284" w:firstLine="0"/>
        <w:jc w:val="both"/>
        <w:rPr>
          <w:rFonts w:ascii="ProbaPro" w:cs="ProbaPro" w:eastAsia="ProbaPro" w:hAnsi="ProbaPro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line="240" w:lineRule="auto"/>
        <w:ind w:left="284" w:hanging="11.000000000000014"/>
        <w:jc w:val="both"/>
        <w:rPr>
          <w:i w:val="1"/>
          <w:color w:val="000000"/>
        </w:rPr>
      </w:pPr>
      <w:r w:rsidDel="00000000" w:rsidR="00000000" w:rsidRPr="00000000">
        <w:rPr>
          <w:rFonts w:ascii="ProbaPro" w:cs="ProbaPro" w:eastAsia="ProbaPro" w:hAnsi="ProbaPro"/>
          <w:i w:val="1"/>
          <w:color w:val="000000"/>
          <w:sz w:val="26"/>
          <w:szCs w:val="26"/>
          <w:rtl w:val="0"/>
        </w:rPr>
        <w:t xml:space="preserve">подати заяву до обраного інклюзивно-ресурсного центру онлайн;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284" w:hanging="11.000000000000014"/>
        <w:jc w:val="both"/>
        <w:rPr>
          <w:i w:val="1"/>
          <w:color w:val="000000"/>
        </w:rPr>
      </w:pPr>
      <w:r w:rsidDel="00000000" w:rsidR="00000000" w:rsidRPr="00000000">
        <w:rPr>
          <w:rFonts w:ascii="ProbaPro" w:cs="ProbaPro" w:eastAsia="ProbaPro" w:hAnsi="ProbaPro"/>
          <w:i w:val="1"/>
          <w:color w:val="000000"/>
          <w:sz w:val="26"/>
          <w:szCs w:val="26"/>
          <w:rtl w:val="0"/>
        </w:rPr>
        <w:t xml:space="preserve">отримати онлайн запрошення на проходження комплексного оцінювання (адреса, дата, час);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284" w:hanging="11.000000000000014"/>
        <w:jc w:val="both"/>
        <w:rPr>
          <w:i w:val="1"/>
          <w:color w:val="000000"/>
        </w:rPr>
      </w:pPr>
      <w:r w:rsidDel="00000000" w:rsidR="00000000" w:rsidRPr="00000000">
        <w:rPr>
          <w:rFonts w:ascii="ProbaPro" w:cs="ProbaPro" w:eastAsia="ProbaPro" w:hAnsi="ProbaPro"/>
          <w:i w:val="1"/>
          <w:color w:val="000000"/>
          <w:sz w:val="26"/>
          <w:szCs w:val="26"/>
          <w:rtl w:val="0"/>
        </w:rPr>
        <w:t xml:space="preserve">зберігати заяву та висновок інклюзивно-ресурсного центру за результатами комплексної оцінки розвитку особи в електронному вигляді.</w:t>
      </w:r>
    </w:p>
    <w:p w:rsidR="00000000" w:rsidDel="00000000" w:rsidP="00000000" w:rsidRDefault="00000000" w:rsidRPr="00000000" w14:paraId="0000000E">
      <w:pPr>
        <w:spacing w:after="0" w:line="240" w:lineRule="auto"/>
        <w:ind w:left="284" w:firstLine="0"/>
        <w:jc w:val="both"/>
        <w:rPr>
          <w:rFonts w:ascii="ProbaPro" w:cs="ProbaPro" w:eastAsia="ProbaPro" w:hAnsi="ProbaPro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38100</wp:posOffset>
                </wp:positionV>
                <wp:extent cx="478155" cy="4400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1210" y="3574260"/>
                          <a:ext cx="449580" cy="4114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cap="flat" cmpd="sng" w="2857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38100</wp:posOffset>
                </wp:positionV>
                <wp:extent cx="478155" cy="44005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" cy="440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40" w:lineRule="auto"/>
        <w:ind w:left="284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 прийом у ІРЦ візьміть з     собою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Паспорт одного з батьків або законного представника.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Свідоцтво про народження дитини.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114300</wp:posOffset>
                </wp:positionV>
                <wp:extent cx="514350" cy="447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3113" y="3570450"/>
                          <a:ext cx="485775" cy="4191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cap="flat" cmpd="sng" w="2857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114300</wp:posOffset>
                </wp:positionV>
                <wp:extent cx="514350" cy="44767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Підготовка дитини до комплексної оцінки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Поясніть дитині мету візиту до ІРЦ у доступній формі.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Забезпечте позитивний настрій у день оцінки.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Прийдіть завчасно, щоб уникнути стресу від поспіху.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line="240" w:lineRule="auto"/>
        <w:ind w:left="644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хвороби дитини перенесіть візит. </w:t>
      </w:r>
    </w:p>
    <w:p w:rsidR="00000000" w:rsidDel="00000000" w:rsidP="00000000" w:rsidRDefault="00000000" w:rsidRPr="00000000" w14:paraId="00000019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Комплексна оцінка розвитку дитини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127000</wp:posOffset>
                </wp:positionV>
                <wp:extent cx="514350" cy="4762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3113" y="3556163"/>
                          <a:ext cx="485775" cy="4476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cap="flat" cmpd="sng" w="2857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127000</wp:posOffset>
                </wp:positionV>
                <wp:extent cx="514350" cy="47625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 повинні бути присутніми під час оцінки.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Оцінка проводиться командою фахівців ІРЦ за такими напрямами:</w:t>
      </w:r>
    </w:p>
    <w:p w:rsidR="00000000" w:rsidDel="00000000" w:rsidP="00000000" w:rsidRDefault="00000000" w:rsidRPr="00000000" w14:paraId="0000001E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Фізичний розвиток.</w:t>
      </w:r>
    </w:p>
    <w:p w:rsidR="00000000" w:rsidDel="00000000" w:rsidP="00000000" w:rsidRDefault="00000000" w:rsidRPr="00000000" w14:paraId="0000001F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Мовленнєвий розвиток.</w:t>
      </w:r>
    </w:p>
    <w:p w:rsidR="00000000" w:rsidDel="00000000" w:rsidP="00000000" w:rsidRDefault="00000000" w:rsidRPr="00000000" w14:paraId="00000020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Когнітивна сфера.</w:t>
      </w:r>
    </w:p>
    <w:p w:rsidR="00000000" w:rsidDel="00000000" w:rsidP="00000000" w:rsidRDefault="00000000" w:rsidRPr="00000000" w14:paraId="00000021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Емоційно-вольова сфера.</w:t>
      </w:r>
    </w:p>
    <w:p w:rsidR="00000000" w:rsidDel="00000000" w:rsidP="00000000" w:rsidRDefault="00000000" w:rsidRPr="00000000" w14:paraId="00000022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- Освітня діяльність.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 час проведення оцінки фахівці ІРЦ з'ясують наявність чи відсутність особливих освітніх потреб, встановлять тип освітніх труднощів у розвитку дитини та рівень підтримки в освітньому процесі.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Надайте результати медичних обстежень вузькопрофільних спеціалістів (за потреби).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Візьміть зошити, малюнки, інші роботи дитини, результати навчальних досягнень тощо (для школярів).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Візьміть попередні висновки фахівців (якщо дитина вже отримувала допомогу).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Отримаєте висновок ІРЦ про комплексну оцінку розвитку дитини не пізніше ніж через місяць після подання заяви.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разі незгоди з висновком ІРЦ можете звернутися до Департаменту освіти і науки з метою проведення повторної оцінки.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14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Інформація про результати комплексної оцінки є конфіденційною.</w:t>
      </w:r>
    </w:p>
    <w:p w:rsidR="00000000" w:rsidDel="00000000" w:rsidP="00000000" w:rsidRDefault="00000000" w:rsidRPr="00000000" w14:paraId="0000002A">
      <w:pPr>
        <w:spacing w:after="0" w:line="240" w:lineRule="auto"/>
        <w:ind w:left="71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88900</wp:posOffset>
                </wp:positionV>
                <wp:extent cx="485775" cy="485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7400" y="355140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cap="flat" cmpd="sng" w="28575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88900</wp:posOffset>
                </wp:positionV>
                <wp:extent cx="485775" cy="48577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Підтримка та супровід дитини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ind w:left="708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 отримаєте:</w:t>
      </w:r>
    </w:p>
    <w:p w:rsidR="00000000" w:rsidDel="00000000" w:rsidP="00000000" w:rsidRDefault="00000000" w:rsidRPr="00000000" w14:paraId="0000002E">
      <w:pPr>
        <w:spacing w:after="0" w:line="240" w:lineRule="auto"/>
        <w:ind w:left="426" w:firstLine="0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40" w:lineRule="auto"/>
        <w:ind w:left="426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Рекомендації фахівців ІРЦ щодо подальшого освітнього та корекційно-розвиткового маршруту дитини, зокрема знайомство з закладами освіти району.</w:t>
      </w:r>
      <w:r w:rsidDel="00000000" w:rsidR="00000000" w:rsidRPr="00000000">
        <w:rPr>
          <w:rFonts w:ascii="ProbaPro" w:cs="ProbaPro" w:eastAsia="ProbaPro" w:hAnsi="ProbaPro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426" w:firstLine="0"/>
        <w:jc w:val="both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1"/>
          <w:smallCaps w:val="0"/>
          <w:strike w:val="0"/>
          <w:color w:val="7030a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 міському сервісі «Портал послуг» у розділі «Запис до школи» можливо записати дитину до інклюзивного або спеціального класу закладі загальної середньої освіти за посиланням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https://portal.kyiv.digital/service/first-school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або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 допомогою QR-коду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200150" cy="1200150"/>
            <wp:effectExtent b="0" l="0" r="0" t="0"/>
            <wp:docPr descr="C:\Users\Tamara.Naidenko\Downloads\qrcode_portal.kyiv.digital.png" id="8" name="image3.png"/>
            <a:graphic>
              <a:graphicData uri="http://schemas.openxmlformats.org/drawingml/2006/picture">
                <pic:pic>
                  <pic:nvPicPr>
                    <pic:cNvPr descr="C:\Users\Tamara.Naidenko\Downloads\qrcode_portal.kyiv.digital.png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426" w:hanging="142"/>
        <w:jc w:val="both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1"/>
          <w:smallCaps w:val="0"/>
          <w:strike w:val="0"/>
          <w:color w:val="7030a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3817620</wp:posOffset>
            </wp:positionH>
            <wp:positionV relativeFrom="margin">
              <wp:posOffset>4256405</wp:posOffset>
            </wp:positionV>
            <wp:extent cx="2847975" cy="247650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8421" l="11988" r="-9931" t="666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47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Запис дітей до спеціальної або інклюзивної групи закладу дошкільної освіти ви можете здійснити через систему електронного запису СЕС «ЗДО» за посиланням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7030a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https://osvita.kyivcity.gov.ua/#/?_k=kdndjp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030a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або за допомогою QR-коду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0" distR="0">
            <wp:extent cx="1171093" cy="1171093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093" cy="1171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426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Проведення додаткових корекційно-розвиткових занять (за потреби).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426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Психологічну підтримку дитині та родині.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426" w:hanging="14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Участь фахівців ІРЦ у команді психолого-педагогічного супроводу </w:t>
      </w:r>
    </w:p>
    <w:p w:rsidR="00000000" w:rsidDel="00000000" w:rsidP="00000000" w:rsidRDefault="00000000" w:rsidRPr="00000000" w14:paraId="00000039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закладі освіти з метою спостереження за адаптацією та, у разі потреби, коригування освітнього процесу для дитини.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426" w:hanging="66.0000000000000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Консультування щодо прав та можливостей дитини в системі освіти.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Підтримку у взаємодії з педагогами та адміністрацією закладу освіти.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Рекомендації щодо консультування у інших спеціалістів (за потреби).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Ознайомлення з мережею закладів/установ соціальної служби, системи освіти та медичної сфери.</w:t>
      </w:r>
    </w:p>
    <w:p w:rsidR="00000000" w:rsidDel="00000000" w:rsidP="00000000" w:rsidRDefault="00000000" w:rsidRPr="00000000" w14:paraId="0000003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15" w:type="default"/>
          <w:pgSz w:h="16838" w:w="11906" w:orient="portrait"/>
          <w:pgMar w:bottom="709" w:top="567" w:left="993" w:right="707" w:header="708" w:footer="708"/>
          <w:pgNumType w:start="1"/>
          <w:cols w:equalWidth="0" w:num="2">
            <w:col w:space="568" w:w="4819"/>
            <w:col w:space="0" w:w="481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  <w:sectPr>
          <w:type w:val="continuous"/>
          <w:pgSz w:h="16838" w:w="11906" w:orient="portrait"/>
          <w:pgMar w:bottom="850" w:top="993" w:left="993" w:right="566" w:header="708" w:footer="708"/>
          <w:cols w:equalWidth="0" w:num="2">
            <w:col w:space="709" w:w="4819"/>
            <w:col w:space="0" w:w="481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Якщо у вас виникають питання, звертайтеся до ІРЦ за консультацією. </w:t>
      </w:r>
    </w:p>
    <w:p w:rsidR="00000000" w:rsidDel="00000000" w:rsidP="00000000" w:rsidRDefault="00000000" w:rsidRPr="00000000" w14:paraId="00000045">
      <w:pPr>
        <w:spacing w:after="280" w:before="280" w:line="240" w:lineRule="auto"/>
        <w:ind w:left="426" w:firstLine="0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  <w:sectPr>
          <w:type w:val="continuous"/>
          <w:pgSz w:h="16838" w:w="11906" w:orient="portrait"/>
          <w:pgMar w:bottom="709" w:top="567" w:left="993" w:right="566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Завжди готові допомогти!</w:t>
      </w:r>
    </w:p>
    <w:p w:rsidR="00000000" w:rsidDel="00000000" w:rsidP="00000000" w:rsidRDefault="00000000" w:rsidRPr="00000000" w14:paraId="0000004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09" w:top="567" w:left="993" w:right="566" w:header="708" w:footer="708"/>
      <w:cols w:equalWidth="0" w:num="2">
        <w:col w:space="709" w:w="4819"/>
        <w:col w:space="0" w:w="481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Times New Roman"/>
  <w:font w:name="Courier New"/>
  <w:font w:name="ProbaPro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0"/>
      <w:numFmt w:val="bullet"/>
      <w:lvlText w:val="-"/>
      <w:lvlJc w:val="left"/>
      <w:pPr>
        <w:ind w:left="786" w:hanging="360.00000000000006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27ca3" w:space="4" w:sz="8" w:val="single"/>
      </w:pBdr>
      <w:spacing w:after="300" w:line="240" w:lineRule="auto"/>
    </w:pPr>
    <w:rPr>
      <w:rFonts w:ascii="Cambria" w:cs="Cambria" w:eastAsia="Cambria" w:hAnsi="Cambria"/>
      <w:color w:val="34343e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727ca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360.0" w:type="dxa"/>
        <w:left w:w="115.0" w:type="dxa"/>
        <w:bottom w:w="36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s://portal.kyiv.digital/service/first-school" TargetMode="External"/><Relationship Id="rId13" Type="http://schemas.openxmlformats.org/officeDocument/2006/relationships/hyperlink" Target="https://osvita.kyivcity.gov.ua/#/?_k=kdndjp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rcenter.gov.ua/" TargetMode="External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